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FB" w:rsidRDefault="007336FB" w:rsidP="007336FB">
      <w:pPr>
        <w:jc w:val="center"/>
        <w:rPr>
          <w:rStyle w:val="Strong"/>
          <w:rFonts w:hint="cs"/>
          <w:lang w:bidi="ar-IQ"/>
        </w:rPr>
      </w:pPr>
      <w:bookmarkStart w:id="0" w:name="_GoBack"/>
      <w:bookmarkEnd w:id="0"/>
    </w:p>
    <w:p w:rsidR="00CE3151" w:rsidRPr="007336FB" w:rsidRDefault="00161B9C" w:rsidP="007336FB">
      <w:pPr>
        <w:jc w:val="center"/>
        <w:rPr>
          <w:sz w:val="44"/>
          <w:szCs w:val="44"/>
          <w:lang w:bidi="ar-IQ"/>
        </w:rPr>
      </w:pPr>
      <w:r w:rsidRPr="007336FB">
        <w:rPr>
          <w:rStyle w:val="Strong"/>
          <w:sz w:val="44"/>
          <w:szCs w:val="44"/>
        </w:rPr>
        <w:t>ASSOCIATION BETWEEN BODY MASS INDEX AND SEVERITY OF CHOLYCYSTITIS</w:t>
      </w:r>
    </w:p>
    <w:p w:rsidR="007336FB" w:rsidRDefault="007336FB">
      <w:pPr>
        <w:rPr>
          <w:lang w:bidi="ar-IQ"/>
        </w:rPr>
      </w:pPr>
    </w:p>
    <w:p w:rsidR="007336FB" w:rsidRPr="005C3DAC" w:rsidRDefault="007336FB" w:rsidP="007336FB">
      <w:pPr>
        <w:pStyle w:val="Default"/>
        <w:rPr>
          <w:rFonts w:asciiTheme="minorBidi" w:hAnsiTheme="minorBidi" w:cstheme="minorBidi"/>
        </w:rPr>
      </w:pPr>
      <w:r w:rsidRPr="005C3DAC">
        <w:rPr>
          <w:rFonts w:asciiTheme="minorBidi" w:hAnsiTheme="minorBidi" w:cstheme="minorBidi"/>
          <w:b/>
          <w:bCs/>
          <w:sz w:val="52"/>
          <w:szCs w:val="52"/>
          <w:lang w:bidi="ar-IQ"/>
        </w:rPr>
        <w:t xml:space="preserve">      </w:t>
      </w:r>
    </w:p>
    <w:p w:rsidR="007336FB" w:rsidRPr="005C3DAC" w:rsidRDefault="007336FB" w:rsidP="007336FB">
      <w:pPr>
        <w:autoSpaceDE w:val="0"/>
        <w:autoSpaceDN w:val="0"/>
        <w:bidi w:val="0"/>
        <w:adjustRightInd w:val="0"/>
        <w:spacing w:after="40" w:line="241" w:lineRule="atLeast"/>
        <w:jc w:val="center"/>
        <w:rPr>
          <w:rFonts w:ascii="Bodoni MT Black" w:hAnsi="Bodoni MT Black"/>
          <w:color w:val="000000"/>
          <w:sz w:val="72"/>
          <w:szCs w:val="72"/>
        </w:rPr>
      </w:pPr>
      <w:r w:rsidRPr="005C3DAC">
        <w:rPr>
          <w:rFonts w:ascii="Bodoni MT Black" w:hAnsi="Bodoni MT Black"/>
          <w:color w:val="000000"/>
          <w:sz w:val="72"/>
          <w:szCs w:val="72"/>
        </w:rPr>
        <w:t xml:space="preserve"> </w:t>
      </w:r>
      <w:r w:rsidRPr="005C3DAC">
        <w:rPr>
          <w:rFonts w:ascii="Bodoni MT Black" w:hAnsi="Bodoni MT Black"/>
          <w:b/>
          <w:bCs/>
          <w:color w:val="000000"/>
          <w:sz w:val="72"/>
          <w:szCs w:val="72"/>
        </w:rPr>
        <w:t xml:space="preserve">ABSTRACT </w:t>
      </w:r>
    </w:p>
    <w:p w:rsidR="007336FB" w:rsidRDefault="007336FB" w:rsidP="007336FB">
      <w:pPr>
        <w:jc w:val="both"/>
        <w:rPr>
          <w:rFonts w:asciiTheme="minorBidi" w:hAnsiTheme="minorBidi"/>
          <w:b/>
          <w:bCs/>
          <w:sz w:val="28"/>
          <w:szCs w:val="28"/>
          <w:lang w:bidi="ar-IQ"/>
        </w:rPr>
      </w:pPr>
      <w:r w:rsidRPr="006742EC">
        <w:rPr>
          <w:rFonts w:asciiTheme="minorBidi" w:hAnsiTheme="minorBidi"/>
          <w:b/>
          <w:bCs/>
          <w:sz w:val="40"/>
          <w:szCs w:val="40"/>
          <w:lang w:bidi="ar-IQ"/>
        </w:rPr>
        <w:t>Obesit</w:t>
      </w:r>
      <w:r w:rsidRPr="006742EC">
        <w:rPr>
          <w:rFonts w:asciiTheme="minorBidi" w:hAnsiTheme="minorBidi"/>
          <w:b/>
          <w:bCs/>
          <w:sz w:val="28"/>
          <w:szCs w:val="28"/>
          <w:lang w:bidi="ar-IQ"/>
        </w:rPr>
        <w:t xml:space="preserve">y is an established risk factor for gall stone disease and </w:t>
      </w:r>
      <w:proofErr w:type="gramStart"/>
      <w:r w:rsidRPr="006742EC">
        <w:rPr>
          <w:rFonts w:asciiTheme="minorBidi" w:hAnsiTheme="minorBidi"/>
          <w:b/>
          <w:bCs/>
          <w:sz w:val="28"/>
          <w:szCs w:val="28"/>
          <w:lang w:bidi="ar-IQ"/>
        </w:rPr>
        <w:t>Few</w:t>
      </w:r>
      <w:proofErr w:type="gramEnd"/>
      <w:r w:rsidRPr="006742EC">
        <w:rPr>
          <w:rFonts w:asciiTheme="minorBidi" w:hAnsiTheme="minorBidi"/>
          <w:b/>
          <w:bCs/>
          <w:sz w:val="28"/>
          <w:szCs w:val="28"/>
          <w:lang w:bidi="ar-IQ"/>
        </w:rPr>
        <w:t xml:space="preserve"> studies have also reported male sex as an independent predictor for the severity of </w:t>
      </w:r>
      <w:proofErr w:type="spellStart"/>
      <w:r w:rsidRPr="006742EC">
        <w:rPr>
          <w:rFonts w:asciiTheme="minorBidi" w:hAnsiTheme="minorBidi"/>
          <w:b/>
          <w:bCs/>
          <w:sz w:val="28"/>
          <w:szCs w:val="28"/>
          <w:lang w:bidi="ar-IQ"/>
        </w:rPr>
        <w:t>cholecystitis</w:t>
      </w:r>
      <w:proofErr w:type="spellEnd"/>
      <w:r w:rsidRPr="006742EC">
        <w:rPr>
          <w:rFonts w:asciiTheme="minorBidi" w:hAnsiTheme="minorBidi"/>
          <w:b/>
          <w:bCs/>
          <w:sz w:val="28"/>
          <w:szCs w:val="28"/>
          <w:lang w:bidi="ar-IQ"/>
        </w:rPr>
        <w:t xml:space="preserve">. There has been many a studies describing the various causative factors and their role in the development of gallstones, but their association with the severity of </w:t>
      </w:r>
      <w:proofErr w:type="spellStart"/>
      <w:r w:rsidRPr="006742EC">
        <w:rPr>
          <w:rFonts w:asciiTheme="minorBidi" w:hAnsiTheme="minorBidi"/>
          <w:b/>
          <w:bCs/>
          <w:sz w:val="28"/>
          <w:szCs w:val="28"/>
          <w:lang w:bidi="ar-IQ"/>
        </w:rPr>
        <w:t>cholecystitis</w:t>
      </w:r>
      <w:proofErr w:type="spellEnd"/>
      <w:r w:rsidRPr="006742EC">
        <w:rPr>
          <w:rFonts w:asciiTheme="minorBidi" w:hAnsiTheme="minorBidi"/>
          <w:b/>
          <w:bCs/>
          <w:sz w:val="28"/>
          <w:szCs w:val="28"/>
          <w:lang w:bidi="ar-IQ"/>
        </w:rPr>
        <w:t xml:space="preserve"> has been less studied. It is also postulated that the total body fat, the mean value of which is significantly higher for females than males, may contribute to the difference in the severity of </w:t>
      </w:r>
      <w:proofErr w:type="spellStart"/>
      <w:r w:rsidRPr="006742EC">
        <w:rPr>
          <w:rFonts w:asciiTheme="minorBidi" w:hAnsiTheme="minorBidi"/>
          <w:b/>
          <w:bCs/>
          <w:sz w:val="28"/>
          <w:szCs w:val="28"/>
          <w:lang w:bidi="ar-IQ"/>
        </w:rPr>
        <w:t>cholecystitis</w:t>
      </w:r>
      <w:proofErr w:type="spellEnd"/>
      <w:r w:rsidRPr="006742EC">
        <w:rPr>
          <w:rFonts w:asciiTheme="minorBidi" w:hAnsiTheme="minorBidi"/>
          <w:b/>
          <w:bCs/>
          <w:sz w:val="28"/>
          <w:szCs w:val="28"/>
          <w:lang w:bidi="ar-IQ"/>
        </w:rPr>
        <w:t xml:space="preserve"> between the two sexes.</w:t>
      </w:r>
    </w:p>
    <w:p w:rsidR="007336FB" w:rsidRPr="007336FB" w:rsidRDefault="007336FB">
      <w:pPr>
        <w:rPr>
          <w:rFonts w:hint="cs"/>
          <w:rtl/>
          <w:lang w:bidi="ar-IQ"/>
        </w:rPr>
      </w:pPr>
    </w:p>
    <w:sectPr w:rsidR="007336FB" w:rsidRPr="007336FB"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18"/>
    <w:rsid w:val="00161B9C"/>
    <w:rsid w:val="00644018"/>
    <w:rsid w:val="007336FB"/>
    <w:rsid w:val="00CE3151"/>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61245-2269-4D54-B8A6-5E52B93C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B9C"/>
    <w:rPr>
      <w:b/>
      <w:bCs/>
    </w:rPr>
  </w:style>
  <w:style w:type="paragraph" w:customStyle="1" w:styleId="Default">
    <w:name w:val="Default"/>
    <w:rsid w:val="00733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2017-08-16T10:24:00Z</dcterms:created>
  <dcterms:modified xsi:type="dcterms:W3CDTF">2017-08-16T10:24:00Z</dcterms:modified>
</cp:coreProperties>
</file>